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HAGGAI</w:t>
      </w:r>
    </w:p>
    <w:p/>
  </w:body>
</w:document>
</file>