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N27JUDAS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N27JUDAS</w:t>
      </w:r>
    </w:p>
    <w:p/>
  </w:body>
</w:document>
</file>