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Libro de Certeza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Libro de Certeza,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Libro de Certeza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Barcelona: Editorial Baháʼí de Espanã,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Segunda 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 DE SHOGHI EFFENDI A SU TRADUCCIÓN AL INGLÉS DE EL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ésta otra tentativa más de dar a conocer a Occidente, si bien en lenguaje insuficiente, un libro que ostenta preeminencia insuperada entre los escritos del Autor de la Revelación Bahá'í. Esperamos que sirva de ayuda a otros en sus esfuerzos por aproximarse a lo que siempre ha de considerarse como la meta inalcanzable: una versión digna de la incomparable expresión de Bahá'u'lláh.</w:t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51733 views since posted 2003-12-05; last edit 2025-06-13 05:03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/bahaullah_libro_certeza_iqan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2012-11-03 by Jonah Winters.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Libro de Certeza (Used by permission of the curator)</w:t>
      </w:r>
    </w:p>
    <w:p/>
  </w:body>
</w:document>
</file>