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2026-07-05 - 1 clipping</w:t>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traditional forms and its tolerance, most closely resembles conditions found in North America. </w:t>
      </w:r>
    </w:p>
    <w:p>
      <w:pPr>
        <w:ind w:left="360"/>
      </w:pPr>
      <w:r>
        <w:rPr>
          <w:color w:val="555555"/>
          <w:sz w:val="18"/>
        </w:rPr>
        <w:t xml:space="preserve">— 25 Yrs Guardianship</w:t>
      </w:r>
    </w:p>
    <w:p/>
  </w:body>
</w:document>
</file>