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2026-07-06 - 1 clipping</w:t>
      </w:r>
    </w:p>
    <w:p>
      <w:pPr>
        <w:ind w:left="360"/>
      </w:pPr>
      <w:r>
        <w:rPr>
          <w:i/>
        </w:rPr>
        <w:t xml:space="preserve">The Compendium The Monks’ Analysis Part one The classes of failure to which each rule belongs</w:t>
      </w:r>
    </w:p>
    <w:p>
      <w:pPr>
        <w:ind w:left="360"/>
      </w:pPr>
      <w:r>
        <w:rPr>
          <w:i/>
        </w:rPr>
        <w:t xml:space="preserve"/>
      </w:r>
    </w:p>
    <w:p>
      <w:pPr>
        <w:ind w:left="360"/>
      </w:pPr>
      <w:r>
        <w:rPr>
          <w:i/>
        </w:rPr>
        <w:t xml:space="preserve">When it comes to the offenses for having sexual intercourse,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 for, out of disrespect, defecating, urinating, or spitting in water, to how many of the four kinds of failure does it belong? It belongs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PLI-TV-PVR1.3 — Bhikkhu Brahmali (CC0-1.0)</w:t>
      </w:r>
    </w:p>
    <w:p/>
  </w:body>
</w:document>
</file>