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PLI-TV-PVR2.16</w:t>
      </w:r>
    </w:p>
    <w:p>
      <w:r>
        <w:rPr>
          <w:color w:val="555555"/>
          <w:sz w:val="20"/>
        </w:rPr>
        <w:t xml:space="preserve">Exported from Holy-Writings.com on 2026-07-06 - 1 clipping</w:t>
      </w:r>
    </w:p>
    <w:p>
      <w:pPr>
        <w:ind w:left="360"/>
      </w:pPr>
      <w:r>
        <w:rPr>
          <w:i/>
        </w:rPr>
        <w:t xml:space="preserve">The Compendium The Nuns’ Analysis Part two Summary of the previous six sections</w:t>
      </w:r>
    </w:p>
    <w:p>
      <w:pPr>
        <w:ind w:left="360"/>
      </w:pPr>
      <w:r>
        <w:rPr>
          <w:i/>
        </w:rPr>
        <w:t xml:space="preserve"/>
      </w:r>
    </w:p>
    <w:p>
      <w:pPr>
        <w:ind w:left="360"/>
      </w:pPr>
      <w:r>
        <w:rPr>
          <w:i/>
        </w:rPr>
        <w:t xml:space="preserve">As a result of consenting to physical contact, how many kinds of offenses does one commit?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w:t>
      </w:r>
    </w:p>
    <w:p>
      <w:pPr>
        <w:ind w:left="360"/>
      </w:pPr>
      <w:r>
        <w:rPr>
          <w:i/>
        </w:rPr>
        <w:t xml:space="preserve"/>
      </w:r>
    </w:p>
    <w:p>
      <w:pPr>
        <w:ind w:left="360"/>
      </w:pPr>
      <w:r>
        <w:rPr>
          <w:i/>
        </w:rPr>
        <w:t xml:space="preserve">The sixteen great sections of the Nuns’ Analysis are finished.</w:t>
      </w:r>
    </w:p>
    <w:p>
      <w:pPr>
        <w:ind w:left="360"/>
      </w:pPr>
      <w:r>
        <w:rPr>
          <w:color w:val="555555"/>
          <w:sz w:val="18"/>
        </w:rPr>
        <w:t xml:space="preserve">— PLI-TV-PVR2.16 — Bhikkhu Brahmali (CC0-1.0)</w:t>
      </w:r>
    </w:p>
    <w:p/>
  </w:body>
</w:document>
</file>