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11, KHANDA 30.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APASTAMBA PRASNA I, PATALA 11, KHANDA 30.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Some declare, that a student shall bathe after (having acquired) the knowledge of the Veda, (however long or short the time of his studentship may have been).</w:t>
      </w:r>
    </w:p>
    <w:p>
      <w:pPr>
        <w:ind w:left="360"/>
      </w:pPr>
      <w:r>
        <w:rPr>
          <w:i/>
        </w:rPr>
        <w:t xml:space="preserve">2. (He may) also (bathe) after having kept the student's vow for forty-eight, (thirty-six or twenty-four) years, (though he may not have mastered the Veda).</w:t>
      </w:r>
    </w:p>
    <w:p>
      <w:pPr>
        <w:ind w:left="360"/>
      </w:pPr>
      <w:r>
        <w:rPr>
          <w:i/>
        </w:rPr>
        <w:t xml:space="preserve">Some declare, that the student (shall bathe) after (having acquired) the knowledge of the Veda and after (the expiration of) his vow.</w:t>
      </w:r>
    </w:p>
    <w:p>
      <w:pPr>
        <w:ind w:left="360"/>
      </w:pPr>
      <w:r>
        <w:rPr>
          <w:i/>
        </w:rPr>
        <w:t xml:space="preserve">[30. 1. The bath is taken at the end of the studentship, and forms part of the Samavartana-ceremony. From this rite a student who has completed his course of study derives the name Snataka, 'one who has bathed.' See also Weber, Ind. Stud. X, 125.]</w:t>
      </w:r>
    </w:p>
    <w:p>
      <w:pPr>
        <w:ind w:left="360"/>
      </w:pPr>
      <w:r>
        <w:rPr>
          <w:i/>
        </w:rPr>
        <w:t xml:space="preserve">4. To all those persons who have bathed (In accordance with any of the above rules must be shown) the honour clue to a Snataka.</w:t>
      </w:r>
    </w:p>
    <w:p>
      <w:pPr>
        <w:ind w:left="360"/>
      </w:pPr>
      <w:r>
        <w:rPr>
          <w:i/>
        </w:rPr>
        <w:t xml:space="preserve">5. The reverence (shown to a Snataka) brings, however, different rewards according to the degree of devotion or of learning (possessed by the person honoured).</w:t>
      </w:r>
    </w:p>
    <w:p>
      <w:pPr>
        <w:ind w:left="360"/>
      </w:pPr>
      <w:r>
        <w:rPr>
          <w:i/>
        </w:rPr>
        <w:t xml:space="preserve">6. Now follow the observances (chiefly to be kept) by a Snataka.</w:t>
      </w:r>
    </w:p>
    <w:p>
      <w:pPr>
        <w:ind w:left="360"/>
      </w:pPr>
      <w:r>
        <w:rPr>
          <w:i/>
        </w:rPr>
        <w:t xml:space="preserve">7. He shall usually enter the village and leave it by the eastern or the northern gate.</w:t>
      </w:r>
    </w:p>
    <w:p>
      <w:pPr>
        <w:ind w:left="360"/>
      </w:pPr>
      <w:r>
        <w:rPr>
          <w:i/>
        </w:rPr>
        <w:t xml:space="preserve">8. During the morning and evening twilights, he shall sit outside the village, and not speak anything (referring to worldly matters).</w:t>
      </w:r>
    </w:p>
    <w:p>
      <w:pPr>
        <w:ind w:left="360"/>
      </w:pPr>
      <w:r>
        <w:rPr>
          <w:i/>
        </w:rPr>
        <w:t xml:space="preserve">9. (But an Agnihotri, who is occupied at home by oblations in the morning and evening, must not go out; for) in the case of a conflict (of duties), that enjoined by the Veda is the more important.</w:t>
      </w:r>
    </w:p>
    <w:p>
      <w:pPr>
        <w:ind w:left="360"/>
      </w:pPr>
      <w:r>
        <w:rPr>
          <w:i/>
        </w:rPr>
        <w:t xml:space="preserve">10. He shall avoid all dyed dresses,</w:t>
      </w:r>
    </w:p>
    <w:p>
      <w:pPr>
        <w:ind w:left="360"/>
      </w:pPr>
      <w:r>
        <w:rPr>
          <w:i/>
        </w:rPr>
        <w:t xml:space="preserve">11. And all naturally black cloth.</w:t>
      </w:r>
    </w:p>
    <w:p>
      <w:pPr>
        <w:ind w:left="360"/>
      </w:pPr>
      <w:r>
        <w:rPr>
          <w:i/>
        </w:rPr>
        <w:t xml:space="preserve">12. He shall wear a dress that is neither shining,</w:t>
      </w:r>
    </w:p>
    <w:p>
      <w:pPr>
        <w:ind w:left="360"/>
      </w:pPr>
      <w:r>
        <w:rPr>
          <w:i/>
        </w:rPr>
        <w:t xml:space="preserve">13. Nor despicable, if he is able (to afford it).</w:t>
      </w:r>
    </w:p>
    <w:p>
      <w:pPr>
        <w:ind w:left="360"/>
      </w:pPr>
      <w:r>
        <w:rPr>
          <w:i/>
        </w:rPr>
        <w:t xml:space="preserve">14. And in the day-time he shall avoid to wrap up his head, except when voiding excrements.</w:t>
      </w:r>
    </w:p>
    <w:p>
      <w:pPr>
        <w:ind w:left="360"/>
      </w:pPr>
      <w:r>
        <w:rPr>
          <w:i/>
        </w:rPr>
        <w:t xml:space="preserve">15. But when voiding excrements, he shall envelop his head and place some (grass or the like) on the ground.</w:t>
      </w:r>
    </w:p>
    <w:p>
      <w:pPr>
        <w:ind w:left="360"/>
      </w:pPr>
      <w:r>
        <w:rPr>
          <w:i/>
        </w:rPr>
        <w:t xml:space="preserve">16. He shall not void excrements in the shade (of a tree, where travellers rest).</w:t>
      </w:r>
    </w:p>
    <w:p>
      <w:pPr>
        <w:ind w:left="360"/>
      </w:pPr>
      <w:r>
        <w:rPr>
          <w:i/>
        </w:rPr>
        <w:t xml:space="preserve">[10. The rule to wear white garments is given Yagn. I, 131; Manu IV, 35. 33.</w:t>
      </w:r>
    </w:p>
    <w:p>
      <w:pPr>
        <w:ind w:left="360"/>
      </w:pPr>
      <w:r>
        <w:rPr>
          <w:i/>
        </w:rPr>
        <w:t xml:space="preserve">13. Manu IV, 34.</w:t>
      </w:r>
    </w:p>
    <w:p>
      <w:pPr>
        <w:ind w:left="360"/>
      </w:pPr>
      <w:r>
        <w:rPr>
          <w:i/>
        </w:rPr>
        <w:t xml:space="preserve">15. Manu IV, 49.]</w:t>
      </w:r>
    </w:p>
    <w:p>
      <w:pPr>
        <w:ind w:left="360"/>
      </w:pPr>
      <w:r>
        <w:rPr>
          <w:i/>
        </w:rPr>
        <w:t xml:space="preserve">17. But he may discharge urine on his own shadow.</w:t>
      </w:r>
    </w:p>
    <w:p>
      <w:pPr>
        <w:ind w:left="360"/>
      </w:pPr>
      <w:r>
        <w:rPr>
          <w:i/>
        </w:rPr>
        <w:t xml:space="preserve">18. He shall not void excrements with his shoes on, nor on a ploughed field, nor on a path, nor in water.</w:t>
      </w:r>
    </w:p>
    <w:p>
      <w:pPr>
        <w:ind w:left="360"/>
      </w:pPr>
      <w:r>
        <w:rPr>
          <w:i/>
        </w:rPr>
        <w:t xml:space="preserve">19. He shall also avoid to spit into, or to have connection with a woman in water.</w:t>
      </w:r>
    </w:p>
    <w:p>
      <w:pPr>
        <w:ind w:left="360"/>
      </w:pPr>
      <w:r>
        <w:rPr>
          <w:i/>
        </w:rPr>
        <w:t xml:space="preserve">20. He shall not void excrements facing the fire, the sun, water, a Brahmana, cows, or (images of) the gods.</w:t>
      </w:r>
    </w:p>
    <w:p>
      <w:pPr>
        <w:ind w:left="360"/>
      </w:pPr>
      <w:r>
        <w:rPr>
          <w:i/>
        </w:rPr>
        <w:t xml:space="preserve">21. He shall avoid to clean his body from excrements with a stone, a clod of earth, or with (boughs of) herbs or trees which he has broken off, whilst they were on the tree and full of sap.</w:t>
      </w:r>
    </w:p>
    <w:p>
      <w:pPr>
        <w:ind w:left="360"/>
      </w:pPr>
      <w:r>
        <w:rPr>
          <w:i/>
        </w:rPr>
        <w:t xml:space="preserve">22. If possible, he shall not stretch out his feet towards a fire, water, a Brahmana, a cow, (iniages of) the gods, a door, or against the wind.</w:t>
      </w:r>
    </w:p>
    <w:p>
      <w:pPr>
        <w:ind w:left="360"/>
      </w:pPr>
      <w:r>
        <w:rPr>
          <w:i/>
        </w:rPr>
        <w:t xml:space="preserve">23. Now they quote also (the following verse):</w:t>
      </w:r>
    </w:p>
    <w:p>
      <w:pPr>
        <w:ind w:left="360"/>
      </w:pPr>
      <w:r>
        <w:rPr>
          <w:i/>
        </w:rPr>
        <w:t xml:space="preserve">[18. Manu IV, 45, 46; Yagn. I, 137.</w:t>
      </w:r>
    </w:p>
    <w:p>
      <w:pPr>
        <w:ind w:left="360"/>
      </w:pPr>
      <w:r>
        <w:rPr>
          <w:i/>
        </w:rPr>
        <w:t xml:space="preserve">19. Manu IV, 56.</w:t>
      </w:r>
    </w:p>
    <w:p>
      <w:pPr>
        <w:ind w:left="360"/>
      </w:pPr>
      <w:r>
        <w:rPr>
          <w:i/>
        </w:rPr>
        <w:t xml:space="preserve">20. Manu IV, 48, 52; Yagn. I, 134.</w:t>
      </w:r>
    </w:p>
    <w:p>
      <w:pPr>
        <w:ind w:left="360"/>
      </w:pPr>
      <w:r>
        <w:rPr>
          <w:i/>
        </w:rPr>
        <w:t xml:space="preserve">22. The prohibition to stretch the feet towards a fire occurs also Manu IV, 53; Yagn. I, 137.]</w:t>
      </w:r>
    </w:p>
    <w:p>
      <w:pPr>
        <w:ind w:left="360"/>
      </w:pPr>
      <w:r>
        <w:rPr>
          <w:color w:val="555555"/>
          <w:sz w:val="18"/>
        </w:rPr>
        <w:t xml:space="preserve">— APASTAMBA PRASNA I, PATALA 11, KHANDA 30.</w:t>
      </w:r>
    </w:p>
    <w:p/>
  </w:body>
</w:document>
</file>