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SA33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(三三)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「色非是我。 若色是我者，不應於色病苦生，亦不應於色欲： 『令如是，不令如是。』 以色無我故，於色有病有苦生，亦得於色欲： 『令如是，不令如是。』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「比丘，於意云何？ 色爲是常，爲無常耶？」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「無常，世尊。」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「比丘，若無常者，是苦，不？」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「是苦，世尊。」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「若無常、苦，是變易法。 多聞聖弟子於中寧見有我、異我、相在，不？」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比丘白佛： 「不也，世尊。」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「受、想、行、識亦復如是。 是故，比丘，諸所有色，若過去、若未來、若現在，若内、若外，若麁、若細，若好、若醜，若遠、若近，彼一切非我、不異我、不相在。 如是觀察。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「比丘，多聞聖弟子於此五受陰非我、非我所如實觀察。 如實觀察已，於諸世間都無所取。 無所取故，無所著。 無所著故，自覺涅槃： 『我生已盡，梵行已立，所作已作。 自知不受後有。』」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SA33 — Taisho Tipitaka (CC0-1.0)</w:t>
      </w:r>
    </w:p>
    <w:p/>
  </w:body>
</w:document>
</file>