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the Greatest Name</w:t>
      </w:r>
    </w:p>
    <w:p>
      <w:r>
        <w:rPr>
          <w:color w:val="555555"/>
          <w:sz w:val="20"/>
        </w:rPr>
        <w:t xml:space="preserve">Exported from Holy-Writings.com on 2026-07-05 - 1 clipping</w:t>
      </w:r>
    </w:p>
    <w:p>
      <w:pPr>
        <w:ind w:left="360"/>
      </w:pPr>
      <w:r>
        <w:rPr>
          <w:i/>
        </w:rPr>
        <w:t xml:space="preserve">TABLET ON THE GREATEST NAME </w:t>
      </w:r>
    </w:p>
    <w:p>
      <w:pPr>
        <w:ind w:left="360"/>
      </w:pPr>
      <w:r>
        <w:rPr>
          <w:i/>
        </w:rPr>
        <w:t xml:space="preserve">'Abdu'l-Baha</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Abha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starving with cold. It is the sovereign remedy and the supreme talisman. It is the source of life in both worlds, and of salvation unto such as have gone astray. To 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Ya-Baha'u'l-'Abha!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color w:val="555555"/>
          <w:sz w:val="18"/>
        </w:rPr>
        <w:t xml:space="preserve">— Tablet on the Greatest Name</w:t>
      </w:r>
    </w:p>
    <w:p/>
  </w:body>
</w:document>
</file>